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623</w:t>
      </w:r>
    </w:p>
    <w:p>
      <w:r>
        <w:t>Bundesgericht (BGE), 2011-01-01, FR</w:t>
      </w:r>
    </w:p>
    <w:p>
      <w:r>
        <w:rPr>
          <w:b/>
        </w:rPr>
        <w:t xml:space="preserve">Quelle: </w:t>
      </w:r>
      <w:r>
        <w:t>https://mcp.opencaselaw.ch/entscheid/bge_137 III 623</w:t>
      </w:r>
    </w:p>
    <w:p>
      <w:r>
        <w:t>FR: ATF 137 III 623</w:t>
      </w:r>
    </w:p>
    <w:p>
      <w:r>
        <w:t>IT: DTF 137 III 623</w:t>
      </w:r>
    </w:p>
    <w:p>
      <w:pPr>
        <w:pStyle w:val="Heading2"/>
      </w:pPr>
      <w:r>
        <w:t>Regeste</w:t>
      </w:r>
    </w:p>
    <w:p>
      <w:r>
        <w:t>Regeste Umrechnung in gesetzliche Schweizerwährung für eine in ausländischer Währung festgelegte Forderung (Art. 67 Abs. 1 Ziff. 3 SchKG). Die Umrechnung in gesetzliche Schweizerwährung zum Kurs des Devisenangebots am Tag des Betreibungsbegehrens ist eine Regel des Ordre public; es besteht kein Raum für eine einzig im Interesse des Betreibungsgläubigers stehende Wahl zwischen dem Kurs im Zeitpunkt des Betreibungsbegehrens und dem Kurs bei Fälligkeit der Forderung (Präzisierung der Rechtsprechung; E. 3).</w:t>
      </w:r>
    </w:p>
    <w:p>
      <w:pPr>
        <w:pStyle w:val="Heading2"/>
      </w:pPr>
      <w:r>
        <w:t>Erwägungen</w:t>
      </w:r>
    </w:p>
    <w:p>
      <w:r>
        <w:rPr>
          <w:b/>
        </w:rPr>
        <w:t>E. 3</w:t>
      </w:r>
    </w:p>
    <w:p>
      <w:r>
        <w:t>A teneur de l' art. 67 al. 1 ch. 3 LP , la réquisition de poursuite adressée à l'office énonce le montant de la créance en valeur légale suisse. La conversion en valeur légale suisse d'une créance stipulée en monnaie étrangère est une règle d'ordre public et une exigence de la pratique. En imposant cette conversion, le législateur n'a cependant pas entendu modifier le rapport de droit liant les parties et nover en une dette de francs suisses celle que les intéressés ont librement fixée en devises étrangères. La conversion se fait néanmoins au cours de l'offre des devises du jour de la réquisition de poursuite ( ATF 135 III 88 consid. 4.1 et les références citées). Du moment que la conversion en valeur légale suisse est tenue pour une règle d'ordre public, il n'y a pas de place pour un choix, servant uniquement les intérêts du poursuivant, entre le cours au moment de la réquisition de BGE 137 III 623 S. 625 poursuite et le cours à l'échéance de sa prétention, l' art. 84 al. 2 CO ne s'appliquant pas (GILLIÉRON, Commentaire de la loi fédérale sur la poursuite pour dettes et la faillite, vol. I, 1999, n° 60 ad art. 67 LP ). C'est donc à juste titre que le recourant soutient qu'en convertissant le montant de la créance de 59'996 GBP 30 (moitié de 119'992 GBP 60) au 26 novembre 2007, date d'entrée en force du jugement de divorce, et non au 11 février 2010, date de la réquisition de poursuite en cause, la cour cantonale a violé le droit fédéral. Le taux de conversion des monnaies est un fait notoire, qui ne doit être ni allégué ni prouvé. Il peut notamment être contrôlé par chacun sur internet, qui permet d'accéder rapidement au taux de conversion en vigueur à une date donnée. Ainsi, selon le site http://www.fxtop.com , qui donne les taux officiels diffusés par la Banque centrale européenne (cf. ATF 135 III 88 consid. 4.1 in fine), le cours de la livre britannique par rapport au franc suisse était, au 11 février 2010, date de la réquisition de poursuite en cause, de 1,670997, et 59'996 GBP 30 équivalaient alors à 100'253 fr. 65. Ces valeurs de conversion alléguées par le recourant ne sont d'ailleurs contestées ni par la cour cantonale ni par l'intimée. L'arrêt attaqué doit en conséquence être réformé dans ce sens que la mainlevée définitive de l'opposition est prononcée à concurrence d'un montant de 154'753 fr. 65 (70'000 + 100'253.65 - 15'500).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